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5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567"/>
        <w:gridCol w:w="705"/>
        <w:gridCol w:w="429"/>
        <w:gridCol w:w="567"/>
        <w:gridCol w:w="3114"/>
        <w:gridCol w:w="3407"/>
      </w:tblGrid>
      <w:tr w:rsidR="00D76D2F" w:rsidRPr="000D3AD0" w:rsidTr="009A7D8B">
        <w:trPr>
          <w:trHeight w:val="558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76D2F" w:rsidRPr="000D3AD0" w:rsidRDefault="000B34E1" w:rsidP="00E45269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76D2F" w:rsidRPr="000D3AD0" w:rsidRDefault="00D76D2F" w:rsidP="00E45269">
            <w:pPr>
              <w:jc w:val="both"/>
              <w:rPr>
                <w:rFonts w:ascii="Arial Narrow" w:hAnsi="Arial Narrow"/>
                <w:b/>
                <w:bCs/>
                <w:iCs/>
                <w:sz w:val="16"/>
                <w:szCs w:val="20"/>
              </w:rPr>
            </w:pPr>
            <w:r w:rsidRPr="000D3AD0">
              <w:rPr>
                <w:rFonts w:ascii="Arial Narrow" w:hAnsi="Arial Narrow"/>
                <w:b/>
                <w:bCs/>
                <w:iCs/>
                <w:sz w:val="16"/>
                <w:szCs w:val="20"/>
              </w:rPr>
              <w:t xml:space="preserve">Cumplimiento </w:t>
            </w:r>
            <w:r w:rsidR="002A0EB4" w:rsidRPr="000D3AD0">
              <w:rPr>
                <w:rFonts w:ascii="Arial Narrow" w:hAnsi="Arial Narrow"/>
                <w:b/>
                <w:bCs/>
                <w:iCs/>
                <w:sz w:val="16"/>
                <w:szCs w:val="20"/>
              </w:rPr>
              <w:t>F</w:t>
            </w:r>
            <w:r w:rsidRPr="000D3AD0">
              <w:rPr>
                <w:rFonts w:ascii="Arial Narrow" w:hAnsi="Arial Narrow"/>
                <w:b/>
                <w:bCs/>
                <w:iCs/>
                <w:sz w:val="16"/>
                <w:szCs w:val="20"/>
              </w:rPr>
              <w:t>inal de los Programas Presupuestarios</w:t>
            </w:r>
          </w:p>
          <w:p w:rsidR="00D76D2F" w:rsidRPr="000D3AD0" w:rsidRDefault="00D76D2F" w:rsidP="00A2235E">
            <w:pPr>
              <w:jc w:val="both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20"/>
              </w:rPr>
              <w:t xml:space="preserve">Verificar el cumplimiento de los objetivos y metas mediante los indicadores </w:t>
            </w:r>
            <w:r w:rsidR="00A2235E">
              <w:rPr>
                <w:rFonts w:ascii="Arial Narrow" w:hAnsi="Arial Narrow" w:cs="Arial"/>
                <w:bCs/>
                <w:sz w:val="16"/>
                <w:szCs w:val="20"/>
              </w:rPr>
              <w:t xml:space="preserve">de Fin, de Propósito, </w:t>
            </w:r>
            <w:r w:rsidRPr="000D3AD0">
              <w:rPr>
                <w:rFonts w:ascii="Arial Narrow" w:hAnsi="Arial Narrow" w:cs="Arial"/>
                <w:bCs/>
                <w:sz w:val="16"/>
                <w:szCs w:val="20"/>
              </w:rPr>
              <w:t xml:space="preserve">de </w:t>
            </w:r>
            <w:r w:rsidR="009A7D8B" w:rsidRPr="000D3AD0">
              <w:rPr>
                <w:rFonts w:ascii="Arial Narrow" w:hAnsi="Arial Narrow" w:cs="Arial"/>
                <w:bCs/>
                <w:sz w:val="16"/>
                <w:szCs w:val="20"/>
              </w:rPr>
              <w:t xml:space="preserve">Componente </w:t>
            </w:r>
            <w:r w:rsidRPr="000D3AD0">
              <w:rPr>
                <w:rFonts w:ascii="Arial Narrow" w:hAnsi="Arial Narrow" w:cs="Arial"/>
                <w:bCs/>
                <w:sz w:val="16"/>
                <w:szCs w:val="20"/>
              </w:rPr>
              <w:t xml:space="preserve">y las </w:t>
            </w:r>
            <w:r w:rsidR="009A7D8B" w:rsidRPr="000D3AD0">
              <w:rPr>
                <w:rFonts w:ascii="Arial Narrow" w:hAnsi="Arial Narrow" w:cs="Arial"/>
                <w:bCs/>
                <w:sz w:val="16"/>
                <w:szCs w:val="20"/>
              </w:rPr>
              <w:t xml:space="preserve">Actividades contenidos </w:t>
            </w:r>
            <w:r w:rsidRPr="000D3AD0">
              <w:rPr>
                <w:rFonts w:ascii="Arial Narrow" w:hAnsi="Arial Narrow" w:cs="Arial"/>
                <w:bCs/>
                <w:sz w:val="16"/>
                <w:szCs w:val="20"/>
              </w:rPr>
              <w:t>en los Programas Presupuestarios.</w:t>
            </w:r>
          </w:p>
        </w:tc>
      </w:tr>
      <w:tr w:rsidR="00B835ED" w:rsidRPr="000D3AD0" w:rsidTr="00B835ED">
        <w:trPr>
          <w:trHeight w:val="5802"/>
        </w:trPr>
        <w:tc>
          <w:tcPr>
            <w:tcW w:w="567" w:type="dxa"/>
            <w:shd w:val="clear" w:color="auto" w:fill="auto"/>
            <w:vAlign w:val="center"/>
          </w:tcPr>
          <w:p w:rsidR="00B835ED" w:rsidRPr="000D3AD0" w:rsidRDefault="00B835ED" w:rsidP="00E4526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sz w:val="16"/>
                <w:szCs w:val="16"/>
              </w:rPr>
              <w:t>3.1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835ED" w:rsidRPr="000D3AD0" w:rsidRDefault="00B835ED" w:rsidP="00E45269">
            <w:pPr>
              <w:pStyle w:val="Encabezado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Documentación:</w:t>
            </w:r>
          </w:p>
          <w:p w:rsidR="00B835ED" w:rsidRPr="000D3AD0" w:rsidRDefault="00B835ED" w:rsidP="00E45269">
            <w:pPr>
              <w:pStyle w:val="Encabezado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B835ED" w:rsidRPr="000D3AD0" w:rsidRDefault="00B835ED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Programas Presupuestarios iniciales (aprobados).</w:t>
            </w:r>
          </w:p>
          <w:p w:rsidR="00B835ED" w:rsidRPr="000D3AD0" w:rsidRDefault="00B835ED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 que se revisa.</w:t>
            </w:r>
          </w:p>
          <w:p w:rsidR="00B835ED" w:rsidRPr="000D3AD0" w:rsidRDefault="00B835ED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En su caso, Programas Presupuestarios modificados.</w:t>
            </w:r>
          </w:p>
          <w:p w:rsidR="00B835ED" w:rsidRPr="000D3AD0" w:rsidRDefault="00B835ED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Avances del Programa Presupuestario 202</w:t>
            </w:r>
            <w:r w:rsidR="006241A7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B835ED" w:rsidRPr="000D3AD0" w:rsidRDefault="00B835ED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Evidencia del avance y/o cumplimiento que se reporta.</w:t>
            </w:r>
          </w:p>
          <w:p w:rsidR="00B835ED" w:rsidRPr="000D3AD0" w:rsidRDefault="00B835ED" w:rsidP="00C37304">
            <w:pPr>
              <w:pStyle w:val="Encabezado"/>
              <w:numPr>
                <w:ilvl w:val="0"/>
                <w:numId w:val="10"/>
              </w:numPr>
              <w:ind w:left="20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Cumplimiento final del Programa Presupuestario 202</w:t>
            </w:r>
            <w:r w:rsidR="006241A7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B835ED" w:rsidRPr="000D3AD0" w:rsidRDefault="00B835ED" w:rsidP="00C37304">
            <w:pPr>
              <w:pStyle w:val="Encabezado"/>
              <w:numPr>
                <w:ilvl w:val="0"/>
                <w:numId w:val="11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B835ED" w:rsidRPr="000D3AD0" w:rsidRDefault="00B835ED" w:rsidP="00E45269">
            <w:pPr>
              <w:pStyle w:val="Encabezado"/>
              <w:ind w:left="46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B835ED" w:rsidRPr="000D3AD0" w:rsidRDefault="00B835ED" w:rsidP="00E45269">
            <w:pPr>
              <w:pStyle w:val="Encabezado"/>
              <w:ind w:left="46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B835ED" w:rsidRPr="000D3AD0" w:rsidRDefault="00B835ED" w:rsidP="00E45269">
            <w:pPr>
              <w:pStyle w:val="Encabezado"/>
              <w:ind w:left="46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i/>
                <w:sz w:val="16"/>
                <w:szCs w:val="16"/>
              </w:rPr>
              <w:t>Aplicación del Procedimiento:</w:t>
            </w:r>
          </w:p>
          <w:p w:rsidR="00B835ED" w:rsidRPr="000D3AD0" w:rsidRDefault="00B835ED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1. Solicitar los informes de avance (parciales), así como el cumplimiento final, emitidos por el área responsable de llevar a cabo las funciones de seguimiento y evaluación de los Programas Presupuestarios.</w:t>
            </w:r>
          </w:p>
          <w:p w:rsidR="00B835ED" w:rsidRPr="000D3AD0" w:rsidRDefault="00B835ED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2. Identificar aquellos Programas Presupuestarios que presenten modificaciones (tanto en los elementos que integran los Programas Presupuestarios como en las cantidades establecidas para ellos) entre la programación inicial y los informes de avance o cumplimiento final. En estos casos se deberán considerar los Programas Presupuestarios que hayan sido modificados como resultados de las afectaciones al presupuesto (ampliaciones o reducciones).</w:t>
            </w:r>
          </w:p>
          <w:p w:rsidR="00B835ED" w:rsidRPr="000D3AD0" w:rsidRDefault="00B835ED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3. En los casos que se presenten modificaciones deberá solicitar la documentación que justifique dichas modificaciones, lo anterior mediante el </w:t>
            </w:r>
            <w:r w:rsidRPr="00ED0C6B">
              <w:rPr>
                <w:rFonts w:ascii="Arial Narrow" w:hAnsi="Arial Narrow" w:cs="Arial"/>
                <w:bCs/>
                <w:color w:val="FF0000"/>
                <w:sz w:val="16"/>
                <w:szCs w:val="16"/>
              </w:rPr>
              <w:t xml:space="preserve">Anexo </w:t>
            </w:r>
            <w:r w:rsidR="00ED0C6B" w:rsidRPr="00ED0C6B">
              <w:rPr>
                <w:rFonts w:ascii="Arial Narrow" w:hAnsi="Arial Narrow" w:cs="Arial"/>
                <w:bCs/>
                <w:color w:val="FF0000"/>
                <w:sz w:val="16"/>
                <w:szCs w:val="16"/>
              </w:rPr>
              <w:t>D3.1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, el cual deberá realizarse para cada uno de los Programas Presupuestarios.</w:t>
            </w:r>
          </w:p>
          <w:p w:rsidR="00B835ED" w:rsidRPr="000D3AD0" w:rsidRDefault="00B835ED" w:rsidP="001C51D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4. En los casos en los cuales el avance parcial o el cumplimiento final de los Componentes o las Actividades de los Programas Presupuestarios sea menor 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% o superior a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%, deberá solicitar la documentación que justifique las variaciones.</w:t>
            </w:r>
          </w:p>
          <w:p w:rsidR="00B835ED" w:rsidRPr="000D3AD0" w:rsidRDefault="00B835ED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5. Verificar la veracidad, pertinencia y suficiencia de las justificaciones presentadas para el punto anterior.</w:t>
            </w:r>
          </w:p>
          <w:p w:rsidR="00B835ED" w:rsidRDefault="00B835ED" w:rsidP="00C37304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6. Verificar la documentación que avale el cumplimiento final de los Programas Presupuestarios.</w:t>
            </w:r>
          </w:p>
          <w:p w:rsidR="00B835ED" w:rsidRPr="00A12EE0" w:rsidRDefault="00B835ED" w:rsidP="00A35044">
            <w:pPr>
              <w:pStyle w:val="Encabezad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7.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>Entidad Fiscalizada no presente la información requerida, el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A12EE0" w:rsidRPr="00E24EF4">
              <w:rPr>
                <w:sz w:val="28"/>
                <w:szCs w:val="28"/>
              </w:rPr>
              <w:t xml:space="preserve"> </w:t>
            </w:r>
            <w:r w:rsidR="00A12EE0" w:rsidRPr="00A12EE0">
              <w:rPr>
                <w:rFonts w:ascii="Arial Narrow" w:hAnsi="Arial Narrow" w:cs="Arial"/>
                <w:bCs/>
                <w:sz w:val="16"/>
                <w:szCs w:val="16"/>
              </w:rPr>
              <w:t>en los términos que establece el punto 4 del apartado V. denominado “De las obligaciones de los Auditores Externos de los  Lineamientos para la designación, contratación, control y evaluación de los Auditores Externos para dictaminar los estados financieros, programáticos, contables y presupuestarios de las Entidades Fiscalizad</w:t>
            </w:r>
            <w:r w:rsidR="006241A7">
              <w:rPr>
                <w:rFonts w:ascii="Arial Narrow" w:hAnsi="Arial Narrow" w:cs="Arial"/>
                <w:bCs/>
                <w:sz w:val="16"/>
                <w:szCs w:val="16"/>
              </w:rPr>
              <w:t>as, por el Ejercicio Fiscal 2023</w:t>
            </w:r>
            <w:bookmarkStart w:id="0" w:name="_GoBack"/>
            <w:r w:rsidR="00100678">
              <w:rPr>
                <w:rFonts w:ascii="Arial Narrow" w:hAnsi="Arial Narrow" w:cs="Arial"/>
                <w:bCs/>
                <w:sz w:val="16"/>
                <w:szCs w:val="16"/>
              </w:rPr>
              <w:t>”</w:t>
            </w:r>
            <w:bookmarkEnd w:id="0"/>
            <w:r w:rsidR="00A12EE0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B835ED" w:rsidRPr="000D3AD0" w:rsidRDefault="00B835ED" w:rsidP="003A68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lastRenderedPageBreak/>
              <w:t>Fecha de aplicación:</w:t>
            </w:r>
          </w:p>
          <w:p w:rsidR="00B835ED" w:rsidRPr="000D3AD0" w:rsidRDefault="00B835ED" w:rsidP="003A684D">
            <w:pPr>
              <w:pStyle w:val="Encabezad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Una vez concluido cada uno de los trimestres del ejercicio que se revisa.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35ED" w:rsidRPr="000D3AD0" w:rsidRDefault="00B835ED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B835ED" w:rsidRPr="000D3AD0" w:rsidRDefault="00B835ED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B835ED" w:rsidRPr="000D3AD0" w:rsidRDefault="00B835ED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835ED" w:rsidRPr="000D3AD0" w:rsidRDefault="00B835ED" w:rsidP="00E45269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1. Los Programas Presupuestarios no presentan modificaciones (tanto en los elementos que integran los Programas Presupuestarios como en las cantidades establecidas para ellos) entre la programación inicial y el avance o cumplimiento final.</w:t>
            </w:r>
          </w:p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En caso de presentar modificaciones:</w:t>
            </w:r>
          </w:p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2. La Entidad Fiscalizada presenta la documentación que justifica las modificaciones, tanto en los elementos que integran los Programas Presupuestarios como en las cantidades establecidas para ellos.</w:t>
            </w:r>
          </w:p>
          <w:p w:rsidR="00B835ED" w:rsidRPr="000D3AD0" w:rsidRDefault="00B835ED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3. Los Programas Presupuestarios presentan un avance o cumplimiento en los indicadores </w:t>
            </w:r>
            <w:r>
              <w:rPr>
                <w:rFonts w:ascii="Arial Narrow" w:hAnsi="Arial Narrow"/>
                <w:sz w:val="16"/>
                <w:szCs w:val="20"/>
              </w:rPr>
              <w:t xml:space="preserve">de Fin, de Propósito,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de Componente y en las Actividades entre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y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%.</w:t>
            </w:r>
          </w:p>
          <w:p w:rsidR="00B835ED" w:rsidRPr="000D3AD0" w:rsidRDefault="00B835ED" w:rsidP="009D3AE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4. La Entidad Fiscalizada presenta evidencia que sustenta el cumplimiento de los indicadores </w:t>
            </w:r>
            <w:r>
              <w:rPr>
                <w:rFonts w:ascii="Arial Narrow" w:hAnsi="Arial Narrow"/>
                <w:sz w:val="16"/>
                <w:szCs w:val="20"/>
              </w:rPr>
              <w:t xml:space="preserve">de Fin, de Propósito,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de Componente y las Actividades de los Programas Presupuestarios.</w:t>
            </w:r>
          </w:p>
          <w:p w:rsidR="00B835ED" w:rsidRPr="000D3AD0" w:rsidRDefault="00B835ED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5. La evidencia presentada por la Entidad Fiscalizada respecto al cumplimiento de los indicadores </w:t>
            </w:r>
            <w:r>
              <w:rPr>
                <w:rFonts w:ascii="Arial Narrow" w:hAnsi="Arial Narrow"/>
                <w:sz w:val="16"/>
                <w:szCs w:val="20"/>
              </w:rPr>
              <w:t xml:space="preserve">de Fin, de Propósito,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de Componente y Actividades de los Programas Presupuestarios es veraz, pertinente y suficiente.</w:t>
            </w:r>
          </w:p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Pr="000D3AD0">
              <w:rPr>
                <w:rFonts w:ascii="Arial Narrow" w:hAnsi="Arial Narrow"/>
              </w:rPr>
              <w:t xml:space="preserve">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La programación inicial de los Programas Presupuestarios presenta modificaciones en relación al avance o cumplimiento final.</w:t>
            </w:r>
          </w:p>
          <w:p w:rsidR="00B835ED" w:rsidRPr="000D3AD0" w:rsidRDefault="00B835ED" w:rsidP="008D454D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Pr="000D3AD0">
              <w:rPr>
                <w:rFonts w:ascii="Arial Narrow" w:hAnsi="Arial Narrow"/>
              </w:rPr>
              <w:t xml:space="preserve">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La Entidad Fiscalizada </w:t>
            </w:r>
            <w:r w:rsidRPr="000D3AD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presenta la documentación que justifica las modificaciones, entre la programación inicial y el avance o cumplimiento final de los Programas Presupuestarios.</w:t>
            </w:r>
          </w:p>
          <w:p w:rsidR="00B835ED" w:rsidRPr="000D3AD0" w:rsidRDefault="00B835ED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Pr="000D3AD0">
              <w:rPr>
                <w:rFonts w:ascii="Arial Narrow" w:hAnsi="Arial Narrow"/>
              </w:rPr>
              <w:t xml:space="preserve">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</w:t>
            </w:r>
            <w:r w:rsidRPr="000D3AD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presentan un avance o cumplimiento en los indicadores </w:t>
            </w:r>
            <w:r>
              <w:rPr>
                <w:rFonts w:ascii="Arial Narrow" w:hAnsi="Arial Narrow"/>
                <w:sz w:val="16"/>
                <w:szCs w:val="20"/>
              </w:rPr>
              <w:t xml:space="preserve">de </w:t>
            </w:r>
            <w:r>
              <w:rPr>
                <w:rFonts w:ascii="Arial Narrow" w:hAnsi="Arial Narrow"/>
                <w:sz w:val="16"/>
                <w:szCs w:val="20"/>
              </w:rPr>
              <w:lastRenderedPageBreak/>
              <w:t xml:space="preserve">Fin, de Propósito,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de Componente y en las Actividades entre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y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%.</w:t>
            </w:r>
          </w:p>
          <w:p w:rsidR="00B835ED" w:rsidRPr="000D3AD0" w:rsidRDefault="00B835ED" w:rsidP="008D454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3a. La Entidad Fiscalizada </w:t>
            </w:r>
            <w:r w:rsidRPr="000D3AD0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presenta la documentación que justifique las variaciones en el avance (parcial) o el cumplimiento (final) </w:t>
            </w:r>
            <w:r>
              <w:rPr>
                <w:rFonts w:ascii="Arial Narrow" w:hAnsi="Arial Narrow"/>
                <w:sz w:val="16"/>
                <w:szCs w:val="20"/>
              </w:rPr>
              <w:t>de Fin, Propósito,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Componentes y Actividades de los Programas Presupuestarios.</w:t>
            </w:r>
          </w:p>
          <w:p w:rsidR="00B835ED" w:rsidRPr="000D3AD0" w:rsidRDefault="00B835ED" w:rsidP="00AA6956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4. La Entidad Fiscalizada </w:t>
            </w:r>
            <w:r w:rsidRPr="000D3AD0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presenta evidencia que sustente el avance y cumplimiento de los indicadores </w:t>
            </w:r>
            <w:r>
              <w:rPr>
                <w:rFonts w:ascii="Arial Narrow" w:hAnsi="Arial Narrow"/>
                <w:sz w:val="16"/>
                <w:szCs w:val="20"/>
              </w:rPr>
              <w:t>de Fin, de Propósito,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de Componente y las Actividades de los Programas Presupuestarios.</w:t>
            </w:r>
          </w:p>
          <w:p w:rsidR="00B835ED" w:rsidRPr="000D3AD0" w:rsidRDefault="00B835ED" w:rsidP="009D3AE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5. La evidencia presentada por la Entidad Fiscalizada respecto al cumplimiento de los indicadores </w:t>
            </w:r>
            <w:r>
              <w:rPr>
                <w:rFonts w:ascii="Arial Narrow" w:hAnsi="Arial Narrow"/>
                <w:sz w:val="16"/>
                <w:szCs w:val="20"/>
              </w:rPr>
              <w:t xml:space="preserve">de Fin, de Propósito, 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de Componente y Actividades de los Programas Presupuestarios</w:t>
            </w:r>
            <w:r w:rsidRPr="000D3AD0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no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 es veraz, pertinente y suficiente.   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835ED" w:rsidRPr="000D3AD0" w:rsidRDefault="00B835ED" w:rsidP="00AA6956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(Solo en caso de resultado negativo)</w:t>
            </w:r>
          </w:p>
          <w:p w:rsidR="00B835ED" w:rsidRPr="000D3AD0" w:rsidRDefault="00B835ED" w:rsidP="00AA6956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1 y 2. Presentar la documentación que justifique las modificaciones entre la programación inicial y el avance o cumplimiento final de los Programas Presupuestarios.</w:t>
            </w:r>
          </w:p>
          <w:p w:rsidR="00B835ED" w:rsidRPr="000D3AD0" w:rsidRDefault="00B835ED" w:rsidP="00AA6956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 xml:space="preserve">3. Presentar la documentación que justifique las variaciones en el avance y complimiento de los indicadores de Componente y las Actividades; casos menores 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% o superiores a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%.</w:t>
            </w:r>
          </w:p>
          <w:p w:rsidR="00B835ED" w:rsidRPr="000D3AD0" w:rsidRDefault="00B835ED" w:rsidP="00494555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D3AD0">
              <w:rPr>
                <w:rFonts w:ascii="Arial Narrow" w:hAnsi="Arial Narrow" w:cs="Arial"/>
                <w:bCs/>
                <w:sz w:val="16"/>
                <w:szCs w:val="16"/>
              </w:rPr>
              <w:t>4 y 5. Presentar la documentación veraz, pertinente y suficiente que sustente el avance cumplimiento final de los Programas Presupuestarios.</w:t>
            </w:r>
          </w:p>
        </w:tc>
      </w:tr>
    </w:tbl>
    <w:p w:rsidR="00003F4B" w:rsidRPr="00D73059" w:rsidRDefault="00E45269" w:rsidP="00003F4B">
      <w:pPr>
        <w:rPr>
          <w:rFonts w:ascii="Myriad Pro" w:hAnsi="Myriad Pro"/>
          <w:sz w:val="16"/>
          <w:szCs w:val="16"/>
        </w:rPr>
      </w:pPr>
      <w:r w:rsidRPr="00D73059">
        <w:rPr>
          <w:rFonts w:ascii="Myriad Pro" w:hAnsi="Myriad Pro"/>
          <w:sz w:val="16"/>
          <w:szCs w:val="16"/>
        </w:rPr>
        <w:br w:type="textWrapping" w:clear="all"/>
      </w:r>
    </w:p>
    <w:p w:rsidR="0091475B" w:rsidRPr="00D73059" w:rsidRDefault="0091475B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8261DE" w:rsidRPr="00D73059" w:rsidTr="008261DE">
        <w:trPr>
          <w:trHeight w:val="491"/>
        </w:trPr>
        <w:tc>
          <w:tcPr>
            <w:tcW w:w="546" w:type="dxa"/>
          </w:tcPr>
          <w:p w:rsidR="008261DE" w:rsidRPr="00D73059" w:rsidRDefault="008261DE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8261DE" w:rsidRPr="00D73059" w:rsidRDefault="008261DE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 w:rsidRPr="00D73059">
              <w:rPr>
                <w:rFonts w:ascii="Myriad Pro" w:hAnsi="Myriad Pro" w:cs="Arial"/>
                <w:sz w:val="16"/>
                <w:szCs w:val="16"/>
                <w:lang w:val="pt-BR"/>
              </w:rPr>
              <w:t>Auditor Externo</w:t>
            </w:r>
          </w:p>
          <w:p w:rsidR="008261DE" w:rsidRPr="00D73059" w:rsidRDefault="008261DE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8261DE" w:rsidRPr="00D73059" w:rsidRDefault="008261DE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8261DE" w:rsidRPr="00D73059" w:rsidRDefault="008261DE" w:rsidP="00941656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8261DE" w:rsidRPr="00D73059" w:rsidRDefault="008261DE" w:rsidP="008261DE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D73059">
              <w:rPr>
                <w:rFonts w:ascii="Myriad Pro" w:hAnsi="Myriad Pro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8261DE" w:rsidRPr="00D73059" w:rsidRDefault="008261DE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8261DE" w:rsidRPr="00D73059" w:rsidRDefault="008261DE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8261DE" w:rsidRPr="00D73059" w:rsidTr="008261DE">
        <w:trPr>
          <w:trHeight w:val="59"/>
        </w:trPr>
        <w:tc>
          <w:tcPr>
            <w:tcW w:w="546" w:type="dxa"/>
          </w:tcPr>
          <w:p w:rsidR="008261DE" w:rsidRPr="00D73059" w:rsidRDefault="008261DE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8261DE" w:rsidRPr="00D73059" w:rsidRDefault="00FF71D1" w:rsidP="00BF1679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8261DE" w:rsidRPr="00D73059" w:rsidRDefault="008261DE" w:rsidP="00096B40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8261DE" w:rsidRPr="00D73059" w:rsidRDefault="00FF71D1" w:rsidP="00096B40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314" w:type="dxa"/>
          </w:tcPr>
          <w:p w:rsidR="008261DE" w:rsidRPr="00D73059" w:rsidRDefault="008261DE" w:rsidP="00096B40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8261DE" w:rsidRPr="00D73059" w:rsidRDefault="008261DE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</w:tbl>
    <w:p w:rsidR="00520513" w:rsidRPr="00D73059" w:rsidRDefault="00520513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0E15FA" w:rsidRPr="00D73059" w:rsidRDefault="000E15FA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sectPr w:rsidR="000E15FA" w:rsidRPr="00D73059" w:rsidSect="00A84B19">
      <w:headerReference w:type="default" r:id="rId8"/>
      <w:footerReference w:type="default" r:id="rId9"/>
      <w:pgSz w:w="15840" w:h="12240" w:orient="landscape" w:code="1"/>
      <w:pgMar w:top="720" w:right="720" w:bottom="720" w:left="720" w:header="425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68" w:rsidRDefault="00EB4A68">
      <w:r>
        <w:separator/>
      </w:r>
    </w:p>
  </w:endnote>
  <w:endnote w:type="continuationSeparator" w:id="0">
    <w:p w:rsidR="00EB4A68" w:rsidRDefault="00EB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D73059" w:rsidRDefault="004C5934">
    <w:pPr>
      <w:pStyle w:val="Piedepgina"/>
      <w:jc w:val="right"/>
      <w:rPr>
        <w:rStyle w:val="Nmerodepgina"/>
        <w:rFonts w:ascii="Myriad Pro" w:hAnsi="Myriad Pro" w:cs="Arial"/>
        <w:sz w:val="16"/>
      </w:rPr>
    </w:pPr>
    <w:r w:rsidRPr="00D73059">
      <w:rPr>
        <w:rStyle w:val="Nmerodepgina"/>
        <w:rFonts w:ascii="Myriad Pro" w:hAnsi="Myriad Pro" w:cs="Arial"/>
        <w:sz w:val="16"/>
      </w:rPr>
      <w:t xml:space="preserve">Página </w:t>
    </w:r>
    <w:r w:rsidRPr="00D73059">
      <w:rPr>
        <w:rStyle w:val="Nmerodepgina"/>
        <w:rFonts w:ascii="Myriad Pro" w:hAnsi="Myriad Pro" w:cs="Arial"/>
        <w:sz w:val="16"/>
      </w:rPr>
      <w:fldChar w:fldCharType="begin"/>
    </w:r>
    <w:r w:rsidRPr="00D73059">
      <w:rPr>
        <w:rStyle w:val="Nmerodepgina"/>
        <w:rFonts w:ascii="Myriad Pro" w:hAnsi="Myriad Pro" w:cs="Arial"/>
        <w:sz w:val="16"/>
      </w:rPr>
      <w:instrText xml:space="preserve"> PAGE </w:instrText>
    </w:r>
    <w:r w:rsidRPr="00D73059">
      <w:rPr>
        <w:rStyle w:val="Nmerodepgina"/>
        <w:rFonts w:ascii="Myriad Pro" w:hAnsi="Myriad Pro" w:cs="Arial"/>
        <w:sz w:val="16"/>
      </w:rPr>
      <w:fldChar w:fldCharType="separate"/>
    </w:r>
    <w:r w:rsidR="00BC4272">
      <w:rPr>
        <w:rStyle w:val="Nmerodepgina"/>
        <w:rFonts w:ascii="Myriad Pro" w:hAnsi="Myriad Pro" w:cs="Arial"/>
        <w:noProof/>
        <w:sz w:val="16"/>
      </w:rPr>
      <w:t>2</w:t>
    </w:r>
    <w:r w:rsidRPr="00D73059">
      <w:rPr>
        <w:rStyle w:val="Nmerodepgina"/>
        <w:rFonts w:ascii="Myriad Pro" w:hAnsi="Myriad Pro" w:cs="Arial"/>
        <w:sz w:val="16"/>
      </w:rPr>
      <w:fldChar w:fldCharType="end"/>
    </w:r>
    <w:r w:rsidRPr="00D73059">
      <w:rPr>
        <w:rStyle w:val="Nmerodepgina"/>
        <w:rFonts w:ascii="Myriad Pro" w:hAnsi="Myriad Pro" w:cs="Arial"/>
        <w:sz w:val="16"/>
      </w:rPr>
      <w:t xml:space="preserve"> de </w:t>
    </w:r>
    <w:r w:rsidRPr="00D73059">
      <w:rPr>
        <w:rStyle w:val="Nmerodepgina"/>
        <w:rFonts w:ascii="Myriad Pro" w:hAnsi="Myriad Pro" w:cs="Arial"/>
        <w:sz w:val="16"/>
      </w:rPr>
      <w:fldChar w:fldCharType="begin"/>
    </w:r>
    <w:r w:rsidRPr="00D73059">
      <w:rPr>
        <w:rStyle w:val="Nmerodepgina"/>
        <w:rFonts w:ascii="Myriad Pro" w:hAnsi="Myriad Pro" w:cs="Arial"/>
        <w:sz w:val="16"/>
      </w:rPr>
      <w:instrText xml:space="preserve"> NUMPAGES </w:instrText>
    </w:r>
    <w:r w:rsidRPr="00D73059">
      <w:rPr>
        <w:rStyle w:val="Nmerodepgina"/>
        <w:rFonts w:ascii="Myriad Pro" w:hAnsi="Myriad Pro" w:cs="Arial"/>
        <w:sz w:val="16"/>
      </w:rPr>
      <w:fldChar w:fldCharType="separate"/>
    </w:r>
    <w:r w:rsidR="00BC4272">
      <w:rPr>
        <w:rStyle w:val="Nmerodepgina"/>
        <w:rFonts w:ascii="Myriad Pro" w:hAnsi="Myriad Pro" w:cs="Arial"/>
        <w:noProof/>
        <w:sz w:val="16"/>
      </w:rPr>
      <w:t>2</w:t>
    </w:r>
    <w:r w:rsidRPr="00D73059">
      <w:rPr>
        <w:rStyle w:val="Nmerodepgina"/>
        <w:rFonts w:ascii="Myriad Pro" w:hAnsi="Myriad Pro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68" w:rsidRDefault="00EB4A68">
      <w:r>
        <w:separator/>
      </w:r>
    </w:p>
  </w:footnote>
  <w:footnote w:type="continuationSeparator" w:id="0">
    <w:p w:rsidR="00EB4A68" w:rsidRDefault="00EB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8"/>
      <w:gridCol w:w="960"/>
      <w:gridCol w:w="1697"/>
      <w:gridCol w:w="2717"/>
      <w:gridCol w:w="567"/>
      <w:gridCol w:w="395"/>
      <w:gridCol w:w="326"/>
      <w:gridCol w:w="437"/>
      <w:gridCol w:w="566"/>
      <w:gridCol w:w="851"/>
      <w:gridCol w:w="2261"/>
      <w:gridCol w:w="2515"/>
      <w:gridCol w:w="882"/>
    </w:tblGrid>
    <w:tr w:rsidR="004C5934" w:rsidRPr="000A5351" w:rsidTr="00B835ED">
      <w:trPr>
        <w:gridAfter w:val="1"/>
        <w:wAfter w:w="882" w:type="dxa"/>
      </w:trPr>
      <w:tc>
        <w:tcPr>
          <w:tcW w:w="3225" w:type="dxa"/>
          <w:gridSpan w:val="3"/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</w:p>
      </w:tc>
      <w:tc>
        <w:tcPr>
          <w:tcW w:w="10635" w:type="dxa"/>
          <w:gridSpan w:val="9"/>
        </w:tcPr>
        <w:p w:rsidR="004C5934" w:rsidRPr="00D73059" w:rsidRDefault="004C5934" w:rsidP="00FF387C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D73059">
            <w:rPr>
              <w:rFonts w:ascii="Myriad Pro" w:hAnsi="Myriad Pro"/>
              <w:b/>
              <w:bCs/>
              <w:sz w:val="20"/>
              <w:szCs w:val="20"/>
            </w:rPr>
            <w:t xml:space="preserve">Cuenta Pública </w:t>
          </w:r>
          <w:r w:rsidR="00E45269" w:rsidRPr="00D73059">
            <w:rPr>
              <w:rFonts w:ascii="Myriad Pro" w:hAnsi="Myriad Pro"/>
              <w:b/>
              <w:bCs/>
              <w:sz w:val="20"/>
              <w:szCs w:val="20"/>
            </w:rPr>
            <w:t>20</w:t>
          </w:r>
          <w:r w:rsidR="00D73059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6241A7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4C5934" w:rsidRPr="00D73059" w:rsidRDefault="004C5934" w:rsidP="0062630D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D73059">
            <w:rPr>
              <w:rFonts w:ascii="Myriad Pro" w:hAnsi="Myriad Pro"/>
              <w:b/>
              <w:bCs/>
              <w:sz w:val="20"/>
              <w:szCs w:val="20"/>
            </w:rPr>
            <w:t>GUÍA DE AUDITORÍA</w:t>
          </w:r>
          <w:r w:rsidR="0062630D" w:rsidRPr="00D73059">
            <w:rPr>
              <w:rFonts w:ascii="Myriad Pro" w:hAnsi="Myriad Pro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D73059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0A5351" w:rsidTr="00B835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76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D73059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D73059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58" w:type="dxa"/>
          <w:gridSpan w:val="3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D73059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0A5351" w:rsidTr="00B835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76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D73059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D73059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D73059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D73059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58" w:type="dxa"/>
          <w:gridSpan w:val="3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D73059" w:rsidRDefault="00B835ED" w:rsidP="00FF387C">
          <w:pPr>
            <w:rPr>
              <w:rFonts w:ascii="Myriad Pro" w:hAnsi="Myriad Pro"/>
              <w:sz w:val="16"/>
              <w:szCs w:val="16"/>
            </w:rPr>
          </w:pPr>
          <w:r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             </w:t>
          </w:r>
          <w:r w:rsidRPr="00B835ED">
            <w:rPr>
              <w:rFonts w:ascii="Myriad Pro" w:hAnsi="Myriad Pro"/>
              <w:color w:val="FF0000"/>
              <w:sz w:val="16"/>
              <w:szCs w:val="16"/>
            </w:rPr>
            <w:t>Anexo D3</w:t>
          </w:r>
        </w:p>
      </w:tc>
    </w:tr>
    <w:tr w:rsidR="004C5934" w:rsidRPr="00DE2975" w:rsidTr="00B835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04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D73059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D73059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D73059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D73059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357516" w:rsidRPr="00D73059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7838" w:type="dxa"/>
          <w:gridSpan w:val="7"/>
          <w:tcBorders>
            <w:top w:val="nil"/>
            <w:bottom w:val="single" w:sz="4" w:space="0" w:color="auto"/>
            <w:right w:val="nil"/>
          </w:tcBorders>
        </w:tcPr>
        <w:p w:rsidR="004C5934" w:rsidRPr="00D73059" w:rsidRDefault="001039B7" w:rsidP="001039B7">
          <w:pPr>
            <w:jc w:val="right"/>
            <w:rPr>
              <w:rFonts w:ascii="Myriad Pro" w:hAnsi="Myriad Pro"/>
              <w:b/>
              <w:bCs/>
              <w:iCs/>
              <w:sz w:val="18"/>
              <w:szCs w:val="18"/>
            </w:rPr>
          </w:pPr>
          <w:r w:rsidRPr="00D73059">
            <w:rPr>
              <w:rFonts w:ascii="Myriad Pro" w:hAnsi="Myriad Pro"/>
              <w:b/>
              <w:sz w:val="18"/>
              <w:szCs w:val="18"/>
            </w:rPr>
            <w:t xml:space="preserve">Procedimiento: </w:t>
          </w:r>
          <w:r w:rsidR="005A050F" w:rsidRPr="00D73059">
            <w:rPr>
              <w:rFonts w:ascii="Myriad Pro" w:hAnsi="Myriad Pro"/>
              <w:b/>
              <w:bCs/>
              <w:iCs/>
              <w:sz w:val="18"/>
              <w:szCs w:val="18"/>
            </w:rPr>
            <w:t>Cumplimiento f</w:t>
          </w:r>
          <w:r w:rsidRPr="00D73059">
            <w:rPr>
              <w:rFonts w:ascii="Myriad Pro" w:hAnsi="Myriad Pro"/>
              <w:b/>
              <w:bCs/>
              <w:iCs/>
              <w:sz w:val="18"/>
              <w:szCs w:val="18"/>
            </w:rPr>
            <w:t>inal de los Programas Presupuestarios</w:t>
          </w:r>
          <w:r w:rsidR="004A43DC" w:rsidRPr="00D73059">
            <w:rPr>
              <w:rFonts w:ascii="Myriad Pro" w:hAnsi="Myriad Pro"/>
              <w:b/>
              <w:sz w:val="18"/>
              <w:szCs w:val="18"/>
            </w:rPr>
            <w:t xml:space="preserve"> 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D73059" w:rsidRDefault="004C5934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D73059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B835ED" w:rsidRPr="000A5351" w:rsidTr="00B835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 w:val="restart"/>
          <w:shd w:val="clear" w:color="auto" w:fill="E6E6E6"/>
          <w:vAlign w:val="center"/>
        </w:tcPr>
        <w:p w:rsidR="00B835ED" w:rsidRPr="000A5351" w:rsidRDefault="00B835E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5374" w:type="dxa"/>
          <w:gridSpan w:val="3"/>
          <w:vMerge w:val="restart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Documentación requerida y aplicación del Procedimiento</w:t>
          </w:r>
        </w:p>
      </w:tc>
      <w:tc>
        <w:tcPr>
          <w:tcW w:w="1288" w:type="dxa"/>
          <w:gridSpan w:val="3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1003" w:type="dxa"/>
          <w:gridSpan w:val="2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Aplicado</w:t>
          </w:r>
        </w:p>
      </w:tc>
      <w:tc>
        <w:tcPr>
          <w:tcW w:w="3112" w:type="dxa"/>
          <w:gridSpan w:val="2"/>
          <w:vMerge w:val="restart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Resultado</w:t>
          </w:r>
        </w:p>
      </w:tc>
      <w:tc>
        <w:tcPr>
          <w:tcW w:w="3397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B835ED" w:rsidRPr="000A5351" w:rsidTr="00B835E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/>
          <w:shd w:val="clear" w:color="auto" w:fill="E6E6E6"/>
          <w:vAlign w:val="center"/>
        </w:tcPr>
        <w:p w:rsidR="00B835ED" w:rsidRPr="000A5351" w:rsidRDefault="00B835E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74" w:type="dxa"/>
          <w:gridSpan w:val="3"/>
          <w:vMerge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721" w:type="dxa"/>
          <w:gridSpan w:val="2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437" w:type="dxa"/>
          <w:shd w:val="clear" w:color="auto" w:fill="E6E6E6"/>
          <w:vAlign w:val="center"/>
        </w:tcPr>
        <w:p w:rsidR="00B835ED" w:rsidRPr="00D73059" w:rsidRDefault="00B835ED" w:rsidP="004523B6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Sí</w:t>
          </w:r>
        </w:p>
      </w:tc>
      <w:tc>
        <w:tcPr>
          <w:tcW w:w="566" w:type="dxa"/>
          <w:shd w:val="clear" w:color="auto" w:fill="E6E6E6"/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D73059">
            <w:rPr>
              <w:rFonts w:ascii="Myriad Pro" w:hAnsi="Myriad Pro"/>
              <w:b/>
              <w:sz w:val="16"/>
              <w:szCs w:val="16"/>
            </w:rPr>
            <w:t>No</w:t>
          </w:r>
        </w:p>
      </w:tc>
      <w:tc>
        <w:tcPr>
          <w:tcW w:w="3112" w:type="dxa"/>
          <w:gridSpan w:val="2"/>
          <w:vMerge/>
          <w:shd w:val="clear" w:color="auto" w:fill="E6E6E6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3397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B835ED" w:rsidRPr="00D73059" w:rsidRDefault="00B835ED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2C969CA"/>
    <w:multiLevelType w:val="hybridMultilevel"/>
    <w:tmpl w:val="8D488ECA"/>
    <w:lvl w:ilvl="0" w:tplc="080A000F">
      <w:start w:val="1"/>
      <w:numFmt w:val="decimal"/>
      <w:lvlText w:val="%1."/>
      <w:lvlJc w:val="left"/>
      <w:pPr>
        <w:ind w:left="794" w:hanging="360"/>
      </w:pPr>
    </w:lvl>
    <w:lvl w:ilvl="1" w:tplc="080A0019" w:tentative="1">
      <w:start w:val="1"/>
      <w:numFmt w:val="lowerLetter"/>
      <w:lvlText w:val="%2."/>
      <w:lvlJc w:val="left"/>
      <w:pPr>
        <w:ind w:left="1514" w:hanging="360"/>
      </w:pPr>
    </w:lvl>
    <w:lvl w:ilvl="2" w:tplc="080A001B" w:tentative="1">
      <w:start w:val="1"/>
      <w:numFmt w:val="lowerRoman"/>
      <w:lvlText w:val="%3."/>
      <w:lvlJc w:val="right"/>
      <w:pPr>
        <w:ind w:left="2234" w:hanging="180"/>
      </w:pPr>
    </w:lvl>
    <w:lvl w:ilvl="3" w:tplc="080A000F" w:tentative="1">
      <w:start w:val="1"/>
      <w:numFmt w:val="decimal"/>
      <w:lvlText w:val="%4."/>
      <w:lvlJc w:val="left"/>
      <w:pPr>
        <w:ind w:left="2954" w:hanging="360"/>
      </w:pPr>
    </w:lvl>
    <w:lvl w:ilvl="4" w:tplc="080A0019" w:tentative="1">
      <w:start w:val="1"/>
      <w:numFmt w:val="lowerLetter"/>
      <w:lvlText w:val="%5."/>
      <w:lvlJc w:val="left"/>
      <w:pPr>
        <w:ind w:left="3674" w:hanging="360"/>
      </w:pPr>
    </w:lvl>
    <w:lvl w:ilvl="5" w:tplc="080A001B" w:tentative="1">
      <w:start w:val="1"/>
      <w:numFmt w:val="lowerRoman"/>
      <w:lvlText w:val="%6."/>
      <w:lvlJc w:val="right"/>
      <w:pPr>
        <w:ind w:left="4394" w:hanging="180"/>
      </w:pPr>
    </w:lvl>
    <w:lvl w:ilvl="6" w:tplc="080A000F" w:tentative="1">
      <w:start w:val="1"/>
      <w:numFmt w:val="decimal"/>
      <w:lvlText w:val="%7."/>
      <w:lvlJc w:val="left"/>
      <w:pPr>
        <w:ind w:left="5114" w:hanging="360"/>
      </w:pPr>
    </w:lvl>
    <w:lvl w:ilvl="7" w:tplc="080A0019" w:tentative="1">
      <w:start w:val="1"/>
      <w:numFmt w:val="lowerLetter"/>
      <w:lvlText w:val="%8."/>
      <w:lvlJc w:val="left"/>
      <w:pPr>
        <w:ind w:left="5834" w:hanging="360"/>
      </w:pPr>
    </w:lvl>
    <w:lvl w:ilvl="8" w:tplc="080A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0" w15:restartNumberingAfterBreak="0">
    <w:nsid w:val="75E47B23"/>
    <w:multiLevelType w:val="hybridMultilevel"/>
    <w:tmpl w:val="76FE55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14F5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133AE"/>
    <w:rsid w:val="00013991"/>
    <w:rsid w:val="00024023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85A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2CB"/>
    <w:rsid w:val="00057C9E"/>
    <w:rsid w:val="00060F58"/>
    <w:rsid w:val="0006102D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20"/>
    <w:rsid w:val="000A68BE"/>
    <w:rsid w:val="000A6A0A"/>
    <w:rsid w:val="000A7A6D"/>
    <w:rsid w:val="000B18A7"/>
    <w:rsid w:val="000B1B9A"/>
    <w:rsid w:val="000B29B7"/>
    <w:rsid w:val="000B34E1"/>
    <w:rsid w:val="000B4662"/>
    <w:rsid w:val="000B4768"/>
    <w:rsid w:val="000B51FA"/>
    <w:rsid w:val="000B5209"/>
    <w:rsid w:val="000B5655"/>
    <w:rsid w:val="000B6FDB"/>
    <w:rsid w:val="000B7719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960"/>
    <w:rsid w:val="000D0CAA"/>
    <w:rsid w:val="000D1320"/>
    <w:rsid w:val="000D394E"/>
    <w:rsid w:val="000D3AD0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0678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384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0843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1D4"/>
    <w:rsid w:val="001C5E6E"/>
    <w:rsid w:val="001C7E4B"/>
    <w:rsid w:val="001D5403"/>
    <w:rsid w:val="001D6A09"/>
    <w:rsid w:val="001D718F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521D"/>
    <w:rsid w:val="00216F7C"/>
    <w:rsid w:val="002177CE"/>
    <w:rsid w:val="00220ACF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1CE"/>
    <w:rsid w:val="00254BF8"/>
    <w:rsid w:val="00255835"/>
    <w:rsid w:val="0025632F"/>
    <w:rsid w:val="00260297"/>
    <w:rsid w:val="002613B9"/>
    <w:rsid w:val="00261712"/>
    <w:rsid w:val="00261FD4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B4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6C5F"/>
    <w:rsid w:val="002D7ABF"/>
    <w:rsid w:val="002D7B35"/>
    <w:rsid w:val="002E0676"/>
    <w:rsid w:val="002E242E"/>
    <w:rsid w:val="002E495F"/>
    <w:rsid w:val="002E4C24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84D"/>
    <w:rsid w:val="003A6CFE"/>
    <w:rsid w:val="003A6EA6"/>
    <w:rsid w:val="003A7948"/>
    <w:rsid w:val="003A7DEF"/>
    <w:rsid w:val="003B1600"/>
    <w:rsid w:val="003B1DB4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1D4A"/>
    <w:rsid w:val="003F2DCA"/>
    <w:rsid w:val="003F2E69"/>
    <w:rsid w:val="003F448B"/>
    <w:rsid w:val="003F47EA"/>
    <w:rsid w:val="003F6155"/>
    <w:rsid w:val="003F63CE"/>
    <w:rsid w:val="00401DA8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5FED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568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4555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1707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33E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67DA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050F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FC4"/>
    <w:rsid w:val="005C4F82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2C8D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1A7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37E1"/>
    <w:rsid w:val="00654639"/>
    <w:rsid w:val="00655BB1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2E64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EFB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6E1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18DF"/>
    <w:rsid w:val="007748CF"/>
    <w:rsid w:val="00775AF3"/>
    <w:rsid w:val="00775C8A"/>
    <w:rsid w:val="007763D6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3EE"/>
    <w:rsid w:val="007B0E1B"/>
    <w:rsid w:val="007B3B8E"/>
    <w:rsid w:val="007B4109"/>
    <w:rsid w:val="007B4D00"/>
    <w:rsid w:val="007B680C"/>
    <w:rsid w:val="007C2C3F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2576"/>
    <w:rsid w:val="007F3A99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162DA"/>
    <w:rsid w:val="00820E5C"/>
    <w:rsid w:val="00823A46"/>
    <w:rsid w:val="008247FF"/>
    <w:rsid w:val="00824C06"/>
    <w:rsid w:val="008256FF"/>
    <w:rsid w:val="008261DE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3D43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265"/>
    <w:rsid w:val="008A1D2C"/>
    <w:rsid w:val="008A34A3"/>
    <w:rsid w:val="008A35B5"/>
    <w:rsid w:val="008A40A1"/>
    <w:rsid w:val="008A4CB7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345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454D"/>
    <w:rsid w:val="008D7E79"/>
    <w:rsid w:val="008E111B"/>
    <w:rsid w:val="008E3700"/>
    <w:rsid w:val="008E45FB"/>
    <w:rsid w:val="008E4B1C"/>
    <w:rsid w:val="008E5E04"/>
    <w:rsid w:val="008E64E4"/>
    <w:rsid w:val="008F34C5"/>
    <w:rsid w:val="008F3A47"/>
    <w:rsid w:val="008F4013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1F02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A7D8B"/>
    <w:rsid w:val="009B0197"/>
    <w:rsid w:val="009B0A67"/>
    <w:rsid w:val="009B0F3B"/>
    <w:rsid w:val="009B14EA"/>
    <w:rsid w:val="009B2E52"/>
    <w:rsid w:val="009B3409"/>
    <w:rsid w:val="009B44CA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3AEA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39B4"/>
    <w:rsid w:val="00A0662A"/>
    <w:rsid w:val="00A06A52"/>
    <w:rsid w:val="00A11569"/>
    <w:rsid w:val="00A11D28"/>
    <w:rsid w:val="00A123D4"/>
    <w:rsid w:val="00A12EE0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35E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5044"/>
    <w:rsid w:val="00A369E7"/>
    <w:rsid w:val="00A414ED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4B19"/>
    <w:rsid w:val="00A85BA6"/>
    <w:rsid w:val="00A90253"/>
    <w:rsid w:val="00A90E5D"/>
    <w:rsid w:val="00A91763"/>
    <w:rsid w:val="00A93E3C"/>
    <w:rsid w:val="00A977CF"/>
    <w:rsid w:val="00AA04F9"/>
    <w:rsid w:val="00AA0EB8"/>
    <w:rsid w:val="00AA225D"/>
    <w:rsid w:val="00AA2F33"/>
    <w:rsid w:val="00AA4862"/>
    <w:rsid w:val="00AA6956"/>
    <w:rsid w:val="00AA6EF6"/>
    <w:rsid w:val="00AA72AE"/>
    <w:rsid w:val="00AB0CEB"/>
    <w:rsid w:val="00AB14C7"/>
    <w:rsid w:val="00AB2963"/>
    <w:rsid w:val="00AB390A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10D"/>
    <w:rsid w:val="00B1025F"/>
    <w:rsid w:val="00B1094C"/>
    <w:rsid w:val="00B1158D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6BAC"/>
    <w:rsid w:val="00B377D4"/>
    <w:rsid w:val="00B37F72"/>
    <w:rsid w:val="00B4111C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56582"/>
    <w:rsid w:val="00B602E0"/>
    <w:rsid w:val="00B605AC"/>
    <w:rsid w:val="00B63570"/>
    <w:rsid w:val="00B6360E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35ED"/>
    <w:rsid w:val="00B84CED"/>
    <w:rsid w:val="00B852F7"/>
    <w:rsid w:val="00B85E48"/>
    <w:rsid w:val="00B90002"/>
    <w:rsid w:val="00B90223"/>
    <w:rsid w:val="00B92784"/>
    <w:rsid w:val="00B94882"/>
    <w:rsid w:val="00B9670C"/>
    <w:rsid w:val="00BA054C"/>
    <w:rsid w:val="00BA160C"/>
    <w:rsid w:val="00BA17BA"/>
    <w:rsid w:val="00BA3E30"/>
    <w:rsid w:val="00BA40FF"/>
    <w:rsid w:val="00BA5CC6"/>
    <w:rsid w:val="00BB099B"/>
    <w:rsid w:val="00BB1581"/>
    <w:rsid w:val="00BB295B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272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E63DE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BF7F03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2EE3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12A8"/>
    <w:rsid w:val="00C329D8"/>
    <w:rsid w:val="00C3391F"/>
    <w:rsid w:val="00C34CD5"/>
    <w:rsid w:val="00C37304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28FA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20C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2DF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240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3059"/>
    <w:rsid w:val="00D75BAC"/>
    <w:rsid w:val="00D76A3E"/>
    <w:rsid w:val="00D76D2F"/>
    <w:rsid w:val="00D770D5"/>
    <w:rsid w:val="00D776F9"/>
    <w:rsid w:val="00D82207"/>
    <w:rsid w:val="00D83C07"/>
    <w:rsid w:val="00D84A0E"/>
    <w:rsid w:val="00D84FCC"/>
    <w:rsid w:val="00D85187"/>
    <w:rsid w:val="00D855FB"/>
    <w:rsid w:val="00D860ED"/>
    <w:rsid w:val="00D863C7"/>
    <w:rsid w:val="00D86940"/>
    <w:rsid w:val="00D86EA9"/>
    <w:rsid w:val="00D86F05"/>
    <w:rsid w:val="00D9044E"/>
    <w:rsid w:val="00D92D53"/>
    <w:rsid w:val="00D9533A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2975"/>
    <w:rsid w:val="00DE363D"/>
    <w:rsid w:val="00DE4061"/>
    <w:rsid w:val="00DE4229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36CF5"/>
    <w:rsid w:val="00E41F83"/>
    <w:rsid w:val="00E42DD2"/>
    <w:rsid w:val="00E430AC"/>
    <w:rsid w:val="00E438FD"/>
    <w:rsid w:val="00E449E8"/>
    <w:rsid w:val="00E45269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240D"/>
    <w:rsid w:val="00EB25E5"/>
    <w:rsid w:val="00EB3A60"/>
    <w:rsid w:val="00EB4A68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0C6B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461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678B5"/>
    <w:rsid w:val="00F71CB4"/>
    <w:rsid w:val="00F73F13"/>
    <w:rsid w:val="00F76D85"/>
    <w:rsid w:val="00F77284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945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1D1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EAD944B-E095-4D2F-A8FD-9C70E62E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1AD20-2B56-4B69-8E4F-8C5986D9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Dirección General de Sistemas</dc:creator>
  <cp:keywords/>
  <dc:description/>
  <cp:lastModifiedBy>José Antonio Clara Hernández</cp:lastModifiedBy>
  <cp:revision>10</cp:revision>
  <cp:lastPrinted>2018-12-11T16:44:00Z</cp:lastPrinted>
  <dcterms:created xsi:type="dcterms:W3CDTF">2021-02-02T17:56:00Z</dcterms:created>
  <dcterms:modified xsi:type="dcterms:W3CDTF">2023-11-07T19:48:00Z</dcterms:modified>
</cp:coreProperties>
</file>